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56F5" w14:textId="3484DC1D" w:rsidR="007E5504" w:rsidRPr="00BA215D" w:rsidRDefault="00FC1619" w:rsidP="00BA215D">
      <w:pPr>
        <w:pStyle w:val="Plattetekst3"/>
        <w:spacing w:line="360" w:lineRule="auto"/>
        <w:ind w:right="20"/>
        <w:jc w:val="center"/>
        <w:rPr>
          <w:rFonts w:ascii="Times New Roman" w:eastAsia="AEGLKK+TimesNewRoman"/>
          <w:b/>
          <w:sz w:val="26"/>
          <w:szCs w:val="26"/>
        </w:rPr>
      </w:pPr>
      <w:r w:rsidRPr="007E5504">
        <w:rPr>
          <w:rFonts w:ascii="Times New Roman" w:eastAsia="AEGLKK+TimesNewRoman"/>
          <w:b/>
          <w:sz w:val="26"/>
          <w:szCs w:val="26"/>
        </w:rPr>
        <w:t>“</w:t>
      </w:r>
      <w:r w:rsidR="0012197A" w:rsidRPr="0012197A">
        <w:rPr>
          <w:rFonts w:ascii="Times New Roman" w:eastAsia="AEGLKK+TimesNewRoman"/>
          <w:b/>
          <w:sz w:val="26"/>
          <w:szCs w:val="26"/>
        </w:rPr>
        <w:t>An Adaptive Palladium Single-Atom Catalyst Enabling Reactivity Switching between Borylation and C–C Coupling</w:t>
      </w:r>
      <w:r w:rsidR="00CE2474" w:rsidRPr="007E5504">
        <w:rPr>
          <w:rFonts w:ascii="Times New Roman" w:eastAsia="AEGLKK+TimesNewRoman"/>
          <w:b/>
          <w:sz w:val="26"/>
          <w:szCs w:val="26"/>
        </w:rPr>
        <w:t>”</w:t>
      </w:r>
    </w:p>
    <w:p w14:paraId="3DF3ECE4" w14:textId="6EB55D75" w:rsidR="00AD41B1" w:rsidRDefault="0012197A" w:rsidP="00BA215D">
      <w:pPr>
        <w:pStyle w:val="Standaard"/>
        <w:spacing w:line="360" w:lineRule="auto"/>
        <w:ind w:right="20"/>
        <w:jc w:val="center"/>
        <w:rPr>
          <w:rFonts w:ascii="Times New Roman"/>
        </w:rPr>
      </w:pPr>
      <w:r>
        <w:rPr>
          <w:rFonts w:ascii="Times New Roman"/>
          <w:u w:val="single"/>
        </w:rPr>
        <w:t>Vitthal</w:t>
      </w:r>
      <w:r w:rsidR="00C81E32" w:rsidRPr="007E5504">
        <w:rPr>
          <w:rFonts w:ascii="Times New Roman"/>
          <w:u w:val="single"/>
        </w:rPr>
        <w:t xml:space="preserve"> </w:t>
      </w:r>
      <w:r w:rsidRPr="0012197A">
        <w:rPr>
          <w:rFonts w:ascii="Times New Roman"/>
          <w:u w:val="single"/>
        </w:rPr>
        <w:t>B</w:t>
      </w:r>
      <w:r w:rsidR="00C81E32" w:rsidRPr="007E5504">
        <w:rPr>
          <w:rFonts w:ascii="Times New Roman"/>
          <w:u w:val="single"/>
        </w:rPr>
        <w:t xml:space="preserve">. </w:t>
      </w:r>
      <w:r>
        <w:rPr>
          <w:rFonts w:ascii="Times New Roman"/>
          <w:u w:val="single"/>
        </w:rPr>
        <w:t>Saptal</w:t>
      </w:r>
      <w:r w:rsidR="00C81E32" w:rsidRPr="007A5C7C">
        <w:rPr>
          <w:rFonts w:ascii="Times New Roman"/>
        </w:rPr>
        <w:t>,</w:t>
      </w:r>
      <w:r w:rsidR="008912A1">
        <w:rPr>
          <w:rFonts w:ascii="Times New Roman"/>
        </w:rPr>
        <w:t xml:space="preserve"> </w:t>
      </w:r>
      <w:r w:rsidR="007E5504">
        <w:rPr>
          <w:rFonts w:ascii="Times New Roman"/>
        </w:rPr>
        <w:t xml:space="preserve">and </w:t>
      </w:r>
      <w:r>
        <w:rPr>
          <w:rFonts w:ascii="Times New Roman"/>
        </w:rPr>
        <w:t>G</w:t>
      </w:r>
      <w:r w:rsidR="004C0A67">
        <w:rPr>
          <w:rFonts w:ascii="Times New Roman"/>
        </w:rPr>
        <w:t>.</w:t>
      </w:r>
      <w:r>
        <w:rPr>
          <w:rFonts w:ascii="Times New Roman"/>
        </w:rPr>
        <w:t xml:space="preserve"> </w:t>
      </w:r>
      <w:proofErr w:type="spellStart"/>
      <w:r>
        <w:rPr>
          <w:rFonts w:ascii="Times New Roman"/>
        </w:rPr>
        <w:t>Vilè</w:t>
      </w:r>
      <w:proofErr w:type="spellEnd"/>
      <w:r w:rsidR="00AD41B1" w:rsidRPr="007A5C7C">
        <w:rPr>
          <w:rFonts w:ascii="Times New Roman"/>
        </w:rPr>
        <w:t>*</w:t>
      </w:r>
    </w:p>
    <w:p w14:paraId="5AFA5803" w14:textId="12248D02" w:rsidR="00FC1619" w:rsidRPr="00BA215D" w:rsidRDefault="0012197A" w:rsidP="00BA215D">
      <w:pPr>
        <w:pStyle w:val="Standaard"/>
        <w:spacing w:line="276" w:lineRule="auto"/>
        <w:ind w:right="20"/>
        <w:jc w:val="center"/>
        <w:rPr>
          <w:rFonts w:ascii="Times New Roman" w:eastAsia="AEGLKK+TimesNewRoman"/>
          <w:sz w:val="22"/>
        </w:rPr>
      </w:pPr>
      <w:r w:rsidRPr="0012197A">
        <w:rPr>
          <w:rFonts w:ascii="Times New Roman"/>
          <w:sz w:val="22"/>
        </w:rPr>
        <w:t xml:space="preserve">Department of Chemistry, Materials, and Chemical Engineering “Giulio Natta”, </w:t>
      </w:r>
      <w:proofErr w:type="spellStart"/>
      <w:r w:rsidRPr="0012197A">
        <w:rPr>
          <w:rFonts w:ascii="Times New Roman"/>
          <w:sz w:val="22"/>
        </w:rPr>
        <w:t>Politecnico</w:t>
      </w:r>
      <w:proofErr w:type="spellEnd"/>
      <w:r w:rsidRPr="0012197A">
        <w:rPr>
          <w:rFonts w:ascii="Times New Roman"/>
          <w:sz w:val="22"/>
        </w:rPr>
        <w:t xml:space="preserve"> di Milano, Piazza Leonardo da Vinci 32, 20133 Milano, Italy</w:t>
      </w:r>
      <w:r>
        <w:rPr>
          <w:rFonts w:ascii="Times New Roman"/>
          <w:sz w:val="22"/>
        </w:rPr>
        <w:t xml:space="preserve">, </w:t>
      </w:r>
      <w:r w:rsidR="00FC1619" w:rsidRPr="007A5C7C">
        <w:rPr>
          <w:rFonts w:ascii="Times New Roman" w:eastAsia="AEGLKK+TimesNewRoman"/>
          <w:sz w:val="22"/>
        </w:rPr>
        <w:t xml:space="preserve">E-mail: </w:t>
      </w:r>
      <w:r>
        <w:rPr>
          <w:rFonts w:ascii="Times New Roman" w:eastAsia="AEGLKK+TimesNewRoman"/>
          <w:sz w:val="22"/>
        </w:rPr>
        <w:t>vitthalsaptal87@</w:t>
      </w:r>
      <w:r w:rsidR="00394DF9" w:rsidRPr="00394DF9">
        <w:rPr>
          <w:rFonts w:ascii="Times New Roman" w:eastAsia="AEGLKK+TimesNewRoman"/>
          <w:sz w:val="22"/>
        </w:rPr>
        <w:t>gmail.com</w:t>
      </w:r>
      <w:r w:rsidR="00394DF9">
        <w:rPr>
          <w:rFonts w:ascii="Times New Roman" w:eastAsia="AEGLKK+TimesNewRoman"/>
          <w:sz w:val="22"/>
        </w:rPr>
        <w:t>;</w:t>
      </w:r>
      <w:r w:rsidR="00B953B5">
        <w:rPr>
          <w:rFonts w:ascii="Times New Roman" w:eastAsia="AEGLKK+TimesNewRoman"/>
          <w:sz w:val="22"/>
        </w:rPr>
        <w:t xml:space="preserve"> *Corresponding author: </w:t>
      </w:r>
      <w:hyperlink r:id="rId5" w:history="1">
        <w:r w:rsidRPr="00FF0E27">
          <w:rPr>
            <w:rStyle w:val="Hyperlink"/>
            <w:rFonts w:ascii="Times New Roman" w:eastAsia="AEGLKK+TimesNewRoman"/>
            <w:sz w:val="22"/>
          </w:rPr>
          <w:t>gianvito.vile@polimi.it</w:t>
        </w:r>
      </w:hyperlink>
      <w:r>
        <w:rPr>
          <w:rFonts w:ascii="Times New Roman" w:eastAsia="AEGLKK+TimesNewRoman"/>
          <w:sz w:val="22"/>
        </w:rPr>
        <w:t xml:space="preserve"> </w:t>
      </w:r>
      <w:r w:rsidR="00B953B5">
        <w:rPr>
          <w:rFonts w:ascii="Times New Roman" w:eastAsia="AEGLKK+TimesNewRoman"/>
          <w:sz w:val="22"/>
        </w:rPr>
        <w:t xml:space="preserve"> </w:t>
      </w:r>
    </w:p>
    <w:p w14:paraId="51475678" w14:textId="77777777" w:rsidR="00FC1619" w:rsidRPr="00C81E32" w:rsidRDefault="00FC1619" w:rsidP="00FC1619">
      <w:pPr>
        <w:pStyle w:val="Default"/>
        <w:rPr>
          <w:highlight w:val="darkBlue"/>
        </w:rPr>
      </w:pPr>
    </w:p>
    <w:p w14:paraId="38CD1D19" w14:textId="73090156" w:rsidR="00FC1619" w:rsidRPr="000B781F" w:rsidRDefault="00FC1619" w:rsidP="00FC1619">
      <w:pPr>
        <w:pStyle w:val="Bloktekst"/>
        <w:ind w:right="135"/>
        <w:jc w:val="both"/>
        <w:rPr>
          <w:rFonts w:ascii="Times New Roman" w:eastAsia="AEGLKK+TimesNewRoman"/>
          <w:i/>
          <w:color w:val="FF0000"/>
        </w:rPr>
      </w:pPr>
      <w:r w:rsidRPr="00906656">
        <w:rPr>
          <w:rFonts w:ascii="Times New Roman" w:eastAsia="AEGLKK+TimesNewRoman"/>
          <w:b/>
        </w:rPr>
        <w:t>Abstract</w:t>
      </w:r>
      <w:r w:rsidR="00CD68E7">
        <w:rPr>
          <w:rFonts w:ascii="Times New Roman" w:eastAsia="AEGLKK+TimesNewRoman"/>
          <w:b/>
        </w:rPr>
        <w:t xml:space="preserve">: </w:t>
      </w:r>
    </w:p>
    <w:p w14:paraId="67A44F9F" w14:textId="3B85411F" w:rsidR="0012197A" w:rsidRDefault="0012197A" w:rsidP="00B91B19">
      <w:pPr>
        <w:spacing w:before="120" w:line="360" w:lineRule="auto"/>
        <w:jc w:val="both"/>
      </w:pPr>
      <w:r w:rsidRPr="0012197A">
        <w:t>The development of single-atom catalysts (SACs) with site-specific and tunable catalytic functionalities remains a highly desirable yet challenging goal in catalysis.</w:t>
      </w:r>
      <w:r w:rsidR="00866304" w:rsidRPr="00866304">
        <w:rPr>
          <w:vertAlign w:val="superscript"/>
        </w:rPr>
        <w:t>1</w:t>
      </w:r>
      <w:r w:rsidR="00866304">
        <w:rPr>
          <w:vertAlign w:val="superscript"/>
        </w:rPr>
        <w:t>-3</w:t>
      </w:r>
      <w:r w:rsidRPr="0012197A">
        <w:t xml:space="preserve"> In this study, we report a SAC featuring anisotropic coordination cavities synthesized via a one-step polymerization of 2,6-diaminopyridine and cyanuric chloride. These cavities provide a robust framework for anchoring isolated Pd single atoms with exceptional stability.</w:t>
      </w:r>
      <w:r w:rsidR="00866304" w:rsidRPr="00866304">
        <w:rPr>
          <w:vertAlign w:val="superscript"/>
        </w:rPr>
        <w:t>4</w:t>
      </w:r>
      <w:r w:rsidRPr="0012197A">
        <w:t xml:space="preserve"> The unique broken symmetry of the catalyst’s local structure enables precise control over reaction pathways, allowing reactivity to be switched between distinct catalytic outcomes. Specifically, under tailored reaction conditions, the catalyst can either halt at the borylation step or proceed seamlessly to Suzuki coupling in a self-cascade process. Mechanistic studies unveil the pivotal role of Pd single atoms in driving key steps, including oxidative addition, base exchange, and reductive elimination. Furthermore, green metrics demonstrate the process’s sustainability, with minimized waste generation and reduced reliance on hazardous reagents in the self-cascade transformation. This work establishes an innovative benchmark in the field of single-atom catalysis: by enabling complex, multistep transformations via strategic activation of multiple functional groups, this catalyst exemplifies the potential of self-cascade processes to revolutionize synthetic chemistry via catalysis engineering.</w:t>
      </w:r>
    </w:p>
    <w:p w14:paraId="38E0C93E" w14:textId="53E38389" w:rsidR="006A6321" w:rsidRPr="00522739" w:rsidRDefault="006A6321" w:rsidP="00B91B19">
      <w:pPr>
        <w:spacing w:before="120" w:line="360" w:lineRule="auto"/>
        <w:jc w:val="both"/>
      </w:pPr>
      <w:r w:rsidRPr="006A6321">
        <w:rPr>
          <w:b/>
          <w:bCs/>
        </w:rPr>
        <w:t>Keywords:</w:t>
      </w:r>
      <w:r>
        <w:t xml:space="preserve"> </w:t>
      </w:r>
      <w:r w:rsidR="00866304">
        <w:t>Adaptive catalysis</w:t>
      </w:r>
      <w:r w:rsidR="00161332">
        <w:t xml:space="preserve">, </w:t>
      </w:r>
      <w:r w:rsidR="00866304">
        <w:t>Single Atom Catalysis</w:t>
      </w:r>
      <w:r w:rsidR="00161332">
        <w:t xml:space="preserve">, </w:t>
      </w:r>
      <w:r w:rsidR="00866304">
        <w:t>Borylation</w:t>
      </w:r>
      <w:r w:rsidR="00161332">
        <w:t>,</w:t>
      </w:r>
      <w:r w:rsidR="00866304">
        <w:t xml:space="preserve"> C-C coupling</w:t>
      </w:r>
      <w:r w:rsidR="00161332">
        <w:t xml:space="preserve">, </w:t>
      </w:r>
      <w:r w:rsidR="00866304">
        <w:t>Heterogeneous Catalysis</w:t>
      </w:r>
    </w:p>
    <w:p w14:paraId="0B4EBEEE" w14:textId="4F405BA7" w:rsidR="00FC1619" w:rsidRPr="000B781F" w:rsidRDefault="00FC1619" w:rsidP="00FC1619">
      <w:pPr>
        <w:spacing w:before="120"/>
        <w:jc w:val="both"/>
      </w:pPr>
      <w:r w:rsidRPr="000B781F">
        <w:rPr>
          <w:b/>
        </w:rPr>
        <w:t>References</w:t>
      </w:r>
      <w:r w:rsidR="0063338C">
        <w:rPr>
          <w:b/>
        </w:rPr>
        <w:t>:</w:t>
      </w:r>
      <w:r w:rsidRPr="000B781F">
        <w:t xml:space="preserve"> </w:t>
      </w:r>
    </w:p>
    <w:p w14:paraId="3C1E96FC" w14:textId="77777777" w:rsidR="00FC1619" w:rsidRPr="00881A83" w:rsidRDefault="00FC1619" w:rsidP="00FC1619">
      <w:pPr>
        <w:widowControl/>
        <w:tabs>
          <w:tab w:val="left" w:pos="270"/>
          <w:tab w:val="left" w:pos="360"/>
          <w:tab w:val="left" w:pos="450"/>
        </w:tabs>
        <w:jc w:val="both"/>
        <w:rPr>
          <w:color w:val="FF0000"/>
          <w:sz w:val="20"/>
          <w:szCs w:val="20"/>
        </w:rPr>
      </w:pPr>
    </w:p>
    <w:p w14:paraId="42C27371" w14:textId="4BD826B6" w:rsidR="0012197A" w:rsidRPr="0012197A" w:rsidRDefault="00FE48DE" w:rsidP="0012197A">
      <w:pPr>
        <w:pStyle w:val="EndNoteBibliography"/>
        <w:spacing w:line="276" w:lineRule="auto"/>
        <w:rPr>
          <w:sz w:val="20"/>
          <w:szCs w:val="20"/>
        </w:rPr>
      </w:pPr>
      <w:r w:rsidRPr="000B781F">
        <w:rPr>
          <w:sz w:val="20"/>
          <w:szCs w:val="20"/>
        </w:rPr>
        <w:fldChar w:fldCharType="begin"/>
      </w:r>
      <w:r w:rsidRPr="000B781F">
        <w:rPr>
          <w:sz w:val="20"/>
          <w:szCs w:val="20"/>
        </w:rPr>
        <w:instrText xml:space="preserve"> ADDIN EN.REFLIST </w:instrText>
      </w:r>
      <w:r w:rsidRPr="000B781F">
        <w:rPr>
          <w:sz w:val="20"/>
          <w:szCs w:val="20"/>
        </w:rPr>
        <w:fldChar w:fldCharType="separate"/>
      </w:r>
      <w:r w:rsidRPr="000B781F">
        <w:rPr>
          <w:sz w:val="20"/>
          <w:szCs w:val="20"/>
        </w:rPr>
        <w:t>1.</w:t>
      </w:r>
      <w:r w:rsidR="00866304">
        <w:rPr>
          <w:sz w:val="20"/>
          <w:szCs w:val="20"/>
        </w:rPr>
        <w:t xml:space="preserve"> </w:t>
      </w:r>
      <w:r w:rsidR="0012197A" w:rsidRPr="0012197A">
        <w:rPr>
          <w:sz w:val="20"/>
          <w:szCs w:val="20"/>
        </w:rPr>
        <w:t xml:space="preserve">Saptal, V. B.; Ruta, V.; Bajada, M. A.; Vilé, G. Adaptive Palladium Single-Atom Catalysts Enabling Reactivity Switching. </w:t>
      </w:r>
      <w:r w:rsidR="0012197A" w:rsidRPr="00866304">
        <w:rPr>
          <w:b/>
          <w:bCs/>
          <w:sz w:val="20"/>
          <w:szCs w:val="20"/>
        </w:rPr>
        <w:t>Angew. Chem., Int. Ed</w:t>
      </w:r>
      <w:r w:rsidR="0012197A" w:rsidRPr="0012197A">
        <w:rPr>
          <w:sz w:val="20"/>
          <w:szCs w:val="20"/>
        </w:rPr>
        <w:t xml:space="preserve">. </w:t>
      </w:r>
      <w:r w:rsidR="0012197A" w:rsidRPr="00866304">
        <w:rPr>
          <w:i/>
          <w:iCs/>
          <w:sz w:val="20"/>
          <w:szCs w:val="20"/>
        </w:rPr>
        <w:t>2023</w:t>
      </w:r>
      <w:r w:rsidR="0012197A" w:rsidRPr="0012197A">
        <w:rPr>
          <w:sz w:val="20"/>
          <w:szCs w:val="20"/>
        </w:rPr>
        <w:t xml:space="preserve">, </w:t>
      </w:r>
      <w:r w:rsidR="0012197A" w:rsidRPr="00866304">
        <w:rPr>
          <w:b/>
          <w:bCs/>
          <w:sz w:val="20"/>
          <w:szCs w:val="20"/>
        </w:rPr>
        <w:t>62</w:t>
      </w:r>
      <w:r w:rsidR="0012197A" w:rsidRPr="0012197A">
        <w:rPr>
          <w:sz w:val="20"/>
          <w:szCs w:val="20"/>
        </w:rPr>
        <w:t>, e202219306.</w:t>
      </w:r>
    </w:p>
    <w:p w14:paraId="38D38CAB" w14:textId="77777777" w:rsidR="0012197A" w:rsidRPr="0012197A" w:rsidRDefault="0012197A" w:rsidP="0012197A">
      <w:pPr>
        <w:pStyle w:val="EndNoteBibliography"/>
        <w:spacing w:line="276" w:lineRule="auto"/>
        <w:rPr>
          <w:sz w:val="20"/>
          <w:szCs w:val="20"/>
        </w:rPr>
      </w:pPr>
    </w:p>
    <w:p w14:paraId="26C85510" w14:textId="62232BEE" w:rsidR="0012197A" w:rsidRPr="0012197A" w:rsidRDefault="00866304" w:rsidP="0012197A">
      <w:pPr>
        <w:pStyle w:val="EndNoteBibliography"/>
        <w:spacing w:line="276" w:lineRule="auto"/>
        <w:rPr>
          <w:sz w:val="20"/>
          <w:szCs w:val="20"/>
        </w:rPr>
      </w:pPr>
      <w:r>
        <w:rPr>
          <w:sz w:val="20"/>
          <w:szCs w:val="20"/>
        </w:rPr>
        <w:t xml:space="preserve">2. </w:t>
      </w:r>
      <w:r w:rsidR="0012197A" w:rsidRPr="0012197A">
        <w:rPr>
          <w:sz w:val="20"/>
          <w:szCs w:val="20"/>
        </w:rPr>
        <w:t xml:space="preserve">Kaiser, S. K.; Chen, Z.; Akl, D. F.; Mitchell, S.; Pérez-Ramírez, J. Single-Atom Catalysts across the Periodic Table. </w:t>
      </w:r>
      <w:r w:rsidR="0012197A" w:rsidRPr="00866304">
        <w:rPr>
          <w:b/>
          <w:bCs/>
          <w:sz w:val="20"/>
          <w:szCs w:val="20"/>
        </w:rPr>
        <w:t>Chem. Rev</w:t>
      </w:r>
      <w:r w:rsidR="0012197A" w:rsidRPr="0012197A">
        <w:rPr>
          <w:sz w:val="20"/>
          <w:szCs w:val="20"/>
        </w:rPr>
        <w:t xml:space="preserve">. </w:t>
      </w:r>
      <w:r w:rsidR="0012197A" w:rsidRPr="00866304">
        <w:rPr>
          <w:i/>
          <w:iCs/>
          <w:sz w:val="20"/>
          <w:szCs w:val="20"/>
        </w:rPr>
        <w:t>2020</w:t>
      </w:r>
      <w:r w:rsidR="0012197A" w:rsidRPr="0012197A">
        <w:rPr>
          <w:sz w:val="20"/>
          <w:szCs w:val="20"/>
        </w:rPr>
        <w:t xml:space="preserve">, </w:t>
      </w:r>
      <w:r w:rsidR="0012197A" w:rsidRPr="00866304">
        <w:rPr>
          <w:b/>
          <w:bCs/>
          <w:sz w:val="20"/>
          <w:szCs w:val="20"/>
        </w:rPr>
        <w:t>120</w:t>
      </w:r>
      <w:r w:rsidR="0012197A" w:rsidRPr="0012197A">
        <w:rPr>
          <w:sz w:val="20"/>
          <w:szCs w:val="20"/>
        </w:rPr>
        <w:t xml:space="preserve"> (21), 11703–11809.</w:t>
      </w:r>
    </w:p>
    <w:p w14:paraId="6E741197" w14:textId="77777777" w:rsidR="0012197A" w:rsidRPr="0012197A" w:rsidRDefault="0012197A" w:rsidP="0012197A">
      <w:pPr>
        <w:pStyle w:val="EndNoteBibliography"/>
        <w:spacing w:line="276" w:lineRule="auto"/>
        <w:rPr>
          <w:sz w:val="20"/>
          <w:szCs w:val="20"/>
        </w:rPr>
      </w:pPr>
    </w:p>
    <w:p w14:paraId="130ACED1" w14:textId="7153B948" w:rsidR="0012197A" w:rsidRPr="004C0A67" w:rsidRDefault="00866304" w:rsidP="0012197A">
      <w:pPr>
        <w:pStyle w:val="EndNoteBibliography"/>
        <w:spacing w:line="276" w:lineRule="auto"/>
        <w:rPr>
          <w:sz w:val="20"/>
          <w:szCs w:val="20"/>
          <w:lang w:val="it-IT"/>
        </w:rPr>
      </w:pPr>
      <w:r>
        <w:rPr>
          <w:sz w:val="20"/>
          <w:szCs w:val="20"/>
        </w:rPr>
        <w:t xml:space="preserve">3. </w:t>
      </w:r>
      <w:r w:rsidR="0012197A" w:rsidRPr="0012197A">
        <w:rPr>
          <w:sz w:val="20"/>
          <w:szCs w:val="20"/>
        </w:rPr>
        <w:t>Li, B.; Ju, C.-W.; Wang, W.; Gu, Y.; Chen, S.; Luo, Y.; Zhang, H.; Yang, J.; Liang, H.-W.; Bonn, M.; Müllen, K.; Goddard, W. A., III; Zhou, Y. Electronic Metal–Support Interactions in Single-Atom Catalysts.</w:t>
      </w:r>
      <w:r w:rsidR="0012197A" w:rsidRPr="00866304">
        <w:rPr>
          <w:b/>
          <w:bCs/>
          <w:sz w:val="20"/>
          <w:szCs w:val="20"/>
        </w:rPr>
        <w:t xml:space="preserve"> </w:t>
      </w:r>
      <w:r w:rsidR="0012197A" w:rsidRPr="004C0A67">
        <w:rPr>
          <w:b/>
          <w:bCs/>
          <w:sz w:val="20"/>
          <w:szCs w:val="20"/>
          <w:lang w:val="it-IT"/>
        </w:rPr>
        <w:t>J. Am. Chem. Soc</w:t>
      </w:r>
      <w:r w:rsidR="0012197A" w:rsidRPr="004C0A67">
        <w:rPr>
          <w:sz w:val="20"/>
          <w:szCs w:val="20"/>
          <w:lang w:val="it-IT"/>
        </w:rPr>
        <w:t xml:space="preserve">. </w:t>
      </w:r>
      <w:r w:rsidR="0012197A" w:rsidRPr="004C0A67">
        <w:rPr>
          <w:i/>
          <w:iCs/>
          <w:sz w:val="20"/>
          <w:szCs w:val="20"/>
          <w:lang w:val="it-IT"/>
        </w:rPr>
        <w:t>2023</w:t>
      </w:r>
      <w:r w:rsidR="0012197A" w:rsidRPr="004C0A67">
        <w:rPr>
          <w:sz w:val="20"/>
          <w:szCs w:val="20"/>
          <w:lang w:val="it-IT"/>
        </w:rPr>
        <w:t>, 145 (44), 24126–24135.</w:t>
      </w:r>
    </w:p>
    <w:p w14:paraId="33F7E25D" w14:textId="77777777" w:rsidR="00866304" w:rsidRPr="004C0A67" w:rsidRDefault="00866304" w:rsidP="0012197A">
      <w:pPr>
        <w:pStyle w:val="EndNoteBibliography"/>
        <w:spacing w:line="276" w:lineRule="auto"/>
        <w:rPr>
          <w:sz w:val="20"/>
          <w:szCs w:val="20"/>
          <w:lang w:val="it-IT"/>
        </w:rPr>
      </w:pPr>
    </w:p>
    <w:p w14:paraId="09F88DAE" w14:textId="28F33C75" w:rsidR="00866304" w:rsidRPr="00866304" w:rsidRDefault="00866304" w:rsidP="0012197A">
      <w:pPr>
        <w:pStyle w:val="EndNoteBibliography"/>
        <w:spacing w:line="276" w:lineRule="auto"/>
        <w:rPr>
          <w:sz w:val="20"/>
          <w:szCs w:val="20"/>
        </w:rPr>
      </w:pPr>
      <w:r w:rsidRPr="00866304">
        <w:rPr>
          <w:sz w:val="20"/>
          <w:szCs w:val="20"/>
          <w:lang w:val="it-IT"/>
        </w:rPr>
        <w:t xml:space="preserve">4. Saptal, V. B.; Saetta, C.; Laufenböck, A.; Sterrer, M.; Kwon, I. S.; Lucotti, A.; Tommasini, M.; Tomanec, O.; Bakandritsos, A.; Di Liberto, G.; Pacchioni, G.; Vilé, G. </w:t>
      </w:r>
      <w:r w:rsidRPr="00866304">
        <w:rPr>
          <w:rStyle w:val="Strong"/>
          <w:sz w:val="20"/>
          <w:szCs w:val="20"/>
          <w:lang w:val="it-IT"/>
        </w:rPr>
        <w:t xml:space="preserve">J. Am. </w:t>
      </w:r>
      <w:r w:rsidRPr="00866304">
        <w:rPr>
          <w:rStyle w:val="Strong"/>
          <w:sz w:val="20"/>
          <w:szCs w:val="20"/>
        </w:rPr>
        <w:t>Chem. Soc.</w:t>
      </w:r>
      <w:r w:rsidRPr="00866304">
        <w:rPr>
          <w:sz w:val="20"/>
          <w:szCs w:val="20"/>
        </w:rPr>
        <w:t xml:space="preserve"> </w:t>
      </w:r>
      <w:r w:rsidRPr="00866304">
        <w:rPr>
          <w:rStyle w:val="Emphasis"/>
          <w:sz w:val="20"/>
          <w:szCs w:val="20"/>
        </w:rPr>
        <w:t>2025</w:t>
      </w:r>
      <w:r w:rsidRPr="00866304">
        <w:rPr>
          <w:sz w:val="20"/>
          <w:szCs w:val="20"/>
        </w:rPr>
        <w:t xml:space="preserve">, </w:t>
      </w:r>
      <w:r w:rsidRPr="00866304">
        <w:rPr>
          <w:rStyle w:val="Strong"/>
          <w:sz w:val="20"/>
          <w:szCs w:val="20"/>
        </w:rPr>
        <w:t>147</w:t>
      </w:r>
      <w:r w:rsidRPr="00866304">
        <w:rPr>
          <w:sz w:val="20"/>
          <w:szCs w:val="20"/>
        </w:rPr>
        <w:t xml:space="preserve"> (22), 18524–18540.</w:t>
      </w:r>
    </w:p>
    <w:p w14:paraId="70EC8911" w14:textId="7DB86231" w:rsidR="00FE48DE" w:rsidRDefault="00FE48DE" w:rsidP="00866304">
      <w:pPr>
        <w:spacing w:line="276" w:lineRule="auto"/>
      </w:pPr>
      <w:r w:rsidRPr="000B781F">
        <w:rPr>
          <w:sz w:val="20"/>
          <w:szCs w:val="20"/>
        </w:rPr>
        <w:fldChar w:fldCharType="end"/>
      </w:r>
    </w:p>
    <w:sectPr w:rsidR="00FE48DE" w:rsidSect="00FC1619">
      <w:pgSz w:w="11900" w:h="16840" w:code="9"/>
      <w:pgMar w:top="1008" w:right="1008" w:bottom="1008" w:left="1008" w:header="720" w:footer="720" w:gutter="0"/>
      <w:cols w:space="567"/>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EGLNE+TimesNewRoman,Bold">
    <w:altName w:val="Malgun Gothic Semilight"/>
    <w:panose1 w:val="00000000000000000000"/>
    <w:charset w:val="88"/>
    <w:family w:val="roman"/>
    <w:notTrueType/>
    <w:pitch w:val="default"/>
    <w:sig w:usb0="00000000" w:usb1="08080000" w:usb2="00000010" w:usb3="00000000" w:csb0="00100000" w:csb1="00000000"/>
  </w:font>
  <w:font w:name="AEGLKK+TimesNewRoman">
    <w:altName w:val="Malgun Gothic Semilight"/>
    <w:panose1 w:val="00000000000000000000"/>
    <w:charset w:val="88"/>
    <w:family w:val="roman"/>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C5D44"/>
    <w:multiLevelType w:val="hybridMultilevel"/>
    <w:tmpl w:val="2196DE64"/>
    <w:lvl w:ilvl="0" w:tplc="4F54D5A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yNjMxNzQxMbI0NTZT0lEKTi0uzszPAykwrgUAVco5ryw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p5saf5yptxr4e0206xs0rm0rx5p2zav25t&quot;&gt;Coal to fuel catalysis project&lt;record-ids&gt;&lt;item&gt;311&lt;/item&gt;&lt;/record-ids&gt;&lt;/item&gt;&lt;/Libraries&gt;"/>
  </w:docVars>
  <w:rsids>
    <w:rsidRoot w:val="00A4723B"/>
    <w:rsid w:val="00054007"/>
    <w:rsid w:val="000B781F"/>
    <w:rsid w:val="0012197A"/>
    <w:rsid w:val="00161332"/>
    <w:rsid w:val="0018156C"/>
    <w:rsid w:val="002432B2"/>
    <w:rsid w:val="00347ED9"/>
    <w:rsid w:val="00394DF9"/>
    <w:rsid w:val="004A5058"/>
    <w:rsid w:val="004C0A67"/>
    <w:rsid w:val="004F4283"/>
    <w:rsid w:val="00522739"/>
    <w:rsid w:val="00527354"/>
    <w:rsid w:val="00583069"/>
    <w:rsid w:val="00597AC0"/>
    <w:rsid w:val="00620604"/>
    <w:rsid w:val="006256C9"/>
    <w:rsid w:val="0063338C"/>
    <w:rsid w:val="006A6321"/>
    <w:rsid w:val="007772AD"/>
    <w:rsid w:val="007A5C7C"/>
    <w:rsid w:val="007E5504"/>
    <w:rsid w:val="00866304"/>
    <w:rsid w:val="00881A83"/>
    <w:rsid w:val="008822A2"/>
    <w:rsid w:val="00885A66"/>
    <w:rsid w:val="008912A1"/>
    <w:rsid w:val="00902057"/>
    <w:rsid w:val="00906656"/>
    <w:rsid w:val="00922598"/>
    <w:rsid w:val="00973097"/>
    <w:rsid w:val="009C14A2"/>
    <w:rsid w:val="00A32D61"/>
    <w:rsid w:val="00A4723B"/>
    <w:rsid w:val="00AD41B1"/>
    <w:rsid w:val="00B91B19"/>
    <w:rsid w:val="00B953B5"/>
    <w:rsid w:val="00BA215D"/>
    <w:rsid w:val="00C507F3"/>
    <w:rsid w:val="00C81E32"/>
    <w:rsid w:val="00CD68E7"/>
    <w:rsid w:val="00CE2474"/>
    <w:rsid w:val="00D5479E"/>
    <w:rsid w:val="00DC3902"/>
    <w:rsid w:val="00FC1619"/>
    <w:rsid w:val="00FE4578"/>
    <w:rsid w:val="00FE48DE"/>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04C0"/>
  <w15:chartTrackingRefBased/>
  <w15:docId w15:val="{9DC19768-D6EB-4495-8E8A-0944A4C7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619"/>
    <w:pPr>
      <w:widowControl w:val="0"/>
      <w:spacing w:after="0" w:line="240" w:lineRule="auto"/>
    </w:pPr>
    <w:rPr>
      <w:rFonts w:ascii="Times New Roman" w:eastAsia="PMingLiU" w:hAnsi="Times New Roman" w:cs="Times New Roman"/>
      <w:kern w:val="2"/>
      <w:sz w:val="24"/>
      <w:szCs w:val="24"/>
      <w:lang w:val="en-US"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1619"/>
    <w:pPr>
      <w:widowControl w:val="0"/>
      <w:autoSpaceDE w:val="0"/>
      <w:autoSpaceDN w:val="0"/>
      <w:adjustRightInd w:val="0"/>
      <w:spacing w:after="0" w:line="240" w:lineRule="auto"/>
    </w:pPr>
    <w:rPr>
      <w:rFonts w:ascii="AEGLNE+TimesNewRoman,Bold" w:eastAsia="AEGLNE+TimesNewRoman,Bold" w:hAnsi="Times New Roman" w:cs="AEGLNE+TimesNewRoman,Bold"/>
      <w:color w:val="000000"/>
      <w:sz w:val="24"/>
      <w:szCs w:val="24"/>
      <w:lang w:val="en-US" w:eastAsia="zh-TW"/>
    </w:rPr>
  </w:style>
  <w:style w:type="paragraph" w:customStyle="1" w:styleId="Standaard">
    <w:name w:val="Standaard"/>
    <w:basedOn w:val="Default"/>
    <w:next w:val="Default"/>
    <w:rsid w:val="00FC1619"/>
    <w:rPr>
      <w:rFonts w:cs="Times New Roman"/>
      <w:color w:val="auto"/>
    </w:rPr>
  </w:style>
  <w:style w:type="paragraph" w:customStyle="1" w:styleId="Plattetekst3">
    <w:name w:val="Platte tekst 3"/>
    <w:basedOn w:val="Default"/>
    <w:next w:val="Default"/>
    <w:rsid w:val="00FC1619"/>
    <w:rPr>
      <w:rFonts w:cs="Times New Roman"/>
      <w:color w:val="auto"/>
    </w:rPr>
  </w:style>
  <w:style w:type="paragraph" w:customStyle="1" w:styleId="Bloktekst">
    <w:name w:val="Bloktekst"/>
    <w:basedOn w:val="Default"/>
    <w:next w:val="Default"/>
    <w:rsid w:val="00FC1619"/>
    <w:rPr>
      <w:rFonts w:cs="Times New Roman"/>
      <w:color w:val="auto"/>
    </w:rPr>
  </w:style>
  <w:style w:type="paragraph" w:styleId="ListParagraph">
    <w:name w:val="List Paragraph"/>
    <w:basedOn w:val="Normal"/>
    <w:uiPriority w:val="34"/>
    <w:qFormat/>
    <w:rsid w:val="00FC1619"/>
    <w:pPr>
      <w:ind w:left="720"/>
      <w:contextualSpacing/>
    </w:pPr>
  </w:style>
  <w:style w:type="character" w:styleId="Hyperlink">
    <w:name w:val="Hyperlink"/>
    <w:basedOn w:val="DefaultParagraphFont"/>
    <w:uiPriority w:val="99"/>
    <w:unhideWhenUsed/>
    <w:rsid w:val="00B953B5"/>
    <w:rPr>
      <w:color w:val="0563C1" w:themeColor="hyperlink"/>
      <w:u w:val="single"/>
    </w:rPr>
  </w:style>
  <w:style w:type="character" w:customStyle="1" w:styleId="UnresolvedMention1">
    <w:name w:val="Unresolved Mention1"/>
    <w:basedOn w:val="DefaultParagraphFont"/>
    <w:uiPriority w:val="99"/>
    <w:semiHidden/>
    <w:unhideWhenUsed/>
    <w:rsid w:val="00B953B5"/>
    <w:rPr>
      <w:color w:val="605E5C"/>
      <w:shd w:val="clear" w:color="auto" w:fill="E1DFDD"/>
    </w:rPr>
  </w:style>
  <w:style w:type="paragraph" w:customStyle="1" w:styleId="EndNoteBibliographyTitle">
    <w:name w:val="EndNote Bibliography Title"/>
    <w:basedOn w:val="Normal"/>
    <w:link w:val="EndNoteBibliographyTitleChar"/>
    <w:rsid w:val="00FE48DE"/>
    <w:pPr>
      <w:jc w:val="center"/>
    </w:pPr>
    <w:rPr>
      <w:noProof/>
    </w:rPr>
  </w:style>
  <w:style w:type="character" w:customStyle="1" w:styleId="EndNoteBibliographyTitleChar">
    <w:name w:val="EndNote Bibliography Title Char"/>
    <w:basedOn w:val="DefaultParagraphFont"/>
    <w:link w:val="EndNoteBibliographyTitle"/>
    <w:rsid w:val="00FE48DE"/>
    <w:rPr>
      <w:rFonts w:ascii="Times New Roman" w:eastAsia="PMingLiU" w:hAnsi="Times New Roman" w:cs="Times New Roman"/>
      <w:noProof/>
      <w:kern w:val="2"/>
      <w:sz w:val="24"/>
      <w:szCs w:val="24"/>
      <w:lang w:val="en-US" w:eastAsia="zh-TW"/>
    </w:rPr>
  </w:style>
  <w:style w:type="paragraph" w:customStyle="1" w:styleId="EndNoteBibliography">
    <w:name w:val="EndNote Bibliography"/>
    <w:basedOn w:val="Normal"/>
    <w:link w:val="EndNoteBibliographyChar"/>
    <w:rsid w:val="00FE48DE"/>
    <w:rPr>
      <w:noProof/>
    </w:rPr>
  </w:style>
  <w:style w:type="character" w:customStyle="1" w:styleId="EndNoteBibliographyChar">
    <w:name w:val="EndNote Bibliography Char"/>
    <w:basedOn w:val="DefaultParagraphFont"/>
    <w:link w:val="EndNoteBibliography"/>
    <w:rsid w:val="00FE48DE"/>
    <w:rPr>
      <w:rFonts w:ascii="Times New Roman" w:eastAsia="PMingLiU" w:hAnsi="Times New Roman" w:cs="Times New Roman"/>
      <w:noProof/>
      <w:kern w:val="2"/>
      <w:sz w:val="24"/>
      <w:szCs w:val="24"/>
      <w:lang w:val="en-US" w:eastAsia="zh-TW"/>
    </w:rPr>
  </w:style>
  <w:style w:type="character" w:styleId="UnresolvedMention">
    <w:name w:val="Unresolved Mention"/>
    <w:basedOn w:val="DefaultParagraphFont"/>
    <w:uiPriority w:val="99"/>
    <w:semiHidden/>
    <w:unhideWhenUsed/>
    <w:rsid w:val="0012197A"/>
    <w:rPr>
      <w:color w:val="605E5C"/>
      <w:shd w:val="clear" w:color="auto" w:fill="E1DFDD"/>
    </w:rPr>
  </w:style>
  <w:style w:type="character" w:styleId="Strong">
    <w:name w:val="Strong"/>
    <w:basedOn w:val="DefaultParagraphFont"/>
    <w:uiPriority w:val="22"/>
    <w:qFormat/>
    <w:rsid w:val="00866304"/>
    <w:rPr>
      <w:b/>
      <w:bCs/>
    </w:rPr>
  </w:style>
  <w:style w:type="character" w:styleId="Emphasis">
    <w:name w:val="Emphasis"/>
    <w:basedOn w:val="DefaultParagraphFont"/>
    <w:uiPriority w:val="20"/>
    <w:qFormat/>
    <w:rsid w:val="008663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ianvito.vile@polimi.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Hanumant B. Kale</dc:creator>
  <cp:keywords/>
  <dc:description/>
  <cp:lastModifiedBy>Vitthal Bhimrao Saptal</cp:lastModifiedBy>
  <cp:revision>3</cp:revision>
  <cp:lastPrinted>2025-12-29T09:50:00Z</cp:lastPrinted>
  <dcterms:created xsi:type="dcterms:W3CDTF">2025-12-29T09:49:00Z</dcterms:created>
  <dcterms:modified xsi:type="dcterms:W3CDTF">2025-12-29T11:22:00Z</dcterms:modified>
</cp:coreProperties>
</file>